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8" w:rsidRDefault="00E10D02" w:rsidP="00772D95">
      <w:pPr>
        <w:pStyle w:val="NormlWeb"/>
        <w:spacing w:before="160" w:beforeAutospacing="0" w:after="160" w:afterAutospacing="0"/>
        <w:jc w:val="center"/>
        <w:rPr>
          <w:b/>
          <w:bCs/>
        </w:rPr>
      </w:pPr>
      <w:bookmarkStart w:id="0" w:name="_GoBack"/>
      <w:bookmarkEnd w:id="0"/>
      <w:r w:rsidRPr="00126B58">
        <w:rPr>
          <w:b/>
          <w:bCs/>
        </w:rPr>
        <w:t>NYILATKOZAT</w:t>
      </w:r>
    </w:p>
    <w:p w:rsidR="00772D95" w:rsidRPr="00126B58" w:rsidRDefault="00772D95" w:rsidP="00772D95">
      <w:pPr>
        <w:pStyle w:val="NormlWeb"/>
        <w:spacing w:before="160" w:beforeAutospacing="0" w:after="160" w:afterAutospacing="0"/>
        <w:jc w:val="center"/>
        <w:rPr>
          <w:b/>
          <w:bCs/>
        </w:rPr>
      </w:pPr>
    </w:p>
    <w:p w:rsidR="00772D95" w:rsidRDefault="00772D95" w:rsidP="00772D95">
      <w:pPr>
        <w:pStyle w:val="NormlWeb"/>
        <w:spacing w:before="160" w:beforeAutospacing="0" w:after="160" w:afterAutospacing="0"/>
        <w:rPr>
          <w:b/>
          <w:bCs/>
        </w:rPr>
      </w:pPr>
      <w:r>
        <w:rPr>
          <w:b/>
          <w:bCs/>
        </w:rPr>
        <w:t>Név:</w:t>
      </w:r>
    </w:p>
    <w:p w:rsidR="00772D95" w:rsidRDefault="00772D95" w:rsidP="00772D95">
      <w:pPr>
        <w:pStyle w:val="NormlWeb"/>
        <w:spacing w:before="160" w:beforeAutospacing="0" w:after="160" w:afterAutospacing="0"/>
        <w:rPr>
          <w:bCs/>
        </w:rPr>
      </w:pPr>
      <w:r w:rsidRPr="00126B58">
        <w:rPr>
          <w:bCs/>
        </w:rPr>
        <w:t>Kamarai nyilvántartási szám:</w:t>
      </w:r>
    </w:p>
    <w:p w:rsidR="00772D95" w:rsidRPr="00126B58" w:rsidRDefault="00772D95" w:rsidP="00772D95">
      <w:pPr>
        <w:pStyle w:val="NormlWeb"/>
        <w:spacing w:before="160" w:beforeAutospacing="0" w:after="160" w:afterAutospacing="0"/>
        <w:rPr>
          <w:bCs/>
        </w:rPr>
      </w:pPr>
    </w:p>
    <w:p w:rsidR="00772D95" w:rsidRDefault="00772D95" w:rsidP="00772D95">
      <w:pPr>
        <w:pStyle w:val="NormlWeb"/>
        <w:spacing w:before="160" w:beforeAutospacing="0" w:after="160" w:afterAutospacing="0"/>
      </w:pPr>
      <w:r>
        <w:rPr>
          <w:b/>
          <w:bCs/>
        </w:rPr>
        <w:t>266/2013. (2013.VII.11.)  Korm. rend. szerinti beszámolóval végződő kötelező továbbképzés:</w:t>
      </w:r>
    </w:p>
    <w:p w:rsidR="00772D95" w:rsidRDefault="00772D95" w:rsidP="00772D95">
      <w:pPr>
        <w:pStyle w:val="NormlWeb"/>
      </w:pPr>
      <w:r>
        <w:t>A beszámolóval végződő kötelező továbbképzés (a továbbiakban: beszámoló) célja annak vizsgálata, hogy a szakmagyakorló kellő mértékben ismeri-e a tevékenységére vonatkozó jogszabályi környezetet, képes-e a fontosabb jogszabályokat helyesen értelmezni, rendelkezik-e a szakmagyakorláshoz szükséges ismeretek alkalmazásában kellő jártassággal.</w:t>
      </w:r>
    </w:p>
    <w:p w:rsidR="00772D95" w:rsidRPr="00126B58" w:rsidRDefault="00772D95" w:rsidP="00772D95">
      <w:pPr>
        <w:pStyle w:val="NormlWeb"/>
        <w:rPr>
          <w:b/>
        </w:rPr>
      </w:pPr>
      <w:r w:rsidRPr="00126B58">
        <w:rPr>
          <w:b/>
        </w:rPr>
        <w:t>A jogosultság megállapítását követő egy éven belül a szakmagyakorlónak beszámolót kell tennie.</w:t>
      </w:r>
    </w:p>
    <w:p w:rsidR="00772D95" w:rsidRDefault="00772D95" w:rsidP="00772D95">
      <w:pPr>
        <w:pStyle w:val="NormlWeb"/>
      </w:pPr>
      <w:r>
        <w:t xml:space="preserve">A beszámolót az országos kamara szervezi és bonyolítja le. </w:t>
      </w:r>
    </w:p>
    <w:p w:rsidR="00772D95" w:rsidRDefault="00772D95" w:rsidP="00772D95">
      <w:pPr>
        <w:pStyle w:val="NormlWeb"/>
      </w:pPr>
      <w:r>
        <w:t>A beszámoló díja összesen 34 000 forint, amelyből az általános rész díja 17 000 forint, a szakterületi rész díja 17 000 forint. A beszámoló eredménytelenség esetén ismételhető. A javítóvizsga díja első alkalommal ingyenes, ezt követően a beszámoló díjával azonos.</w:t>
      </w:r>
    </w:p>
    <w:p w:rsidR="00772D95" w:rsidRDefault="00772D95" w:rsidP="00772D95">
      <w:pPr>
        <w:pStyle w:val="NormlWeb"/>
      </w:pPr>
      <w:r>
        <w:t>A beszámoló díját a vizsgára történő jelentkezéskor kell befizetni a vizsgát szervező országos kamara elkülönítetten vezetett számlájára.</w:t>
      </w:r>
    </w:p>
    <w:p w:rsidR="00772D95" w:rsidRDefault="00772D95" w:rsidP="00772D95">
      <w:pPr>
        <w:pStyle w:val="NormlWeb"/>
      </w:pPr>
      <w:r>
        <w:t>A vizsgázó köteles értesíteni a vizsgaszervezőt, amennyiben a visszaigazolt vizsgán nem tud részt venni. Amennyiben a vizsgára jelentkező szakmagyakorló legkésőbb a vizsga napját megelőző második munkanapig nem tesz eleget értesítési kötelezettségének, akkor a befizetett vizsgadíj összegéből az adminisztrációs költségek fedezésére 3000 forint levonásra kerül.</w:t>
      </w:r>
    </w:p>
    <w:p w:rsidR="00772D95" w:rsidRDefault="00772D95" w:rsidP="00772D95">
      <w:pPr>
        <w:pStyle w:val="NormlWeb"/>
      </w:pPr>
      <w:r>
        <w:t xml:space="preserve">A beszámoló általános része alól a vizsgabizottság az ügyrendjében meghatározott módon felmentést ad, ha a szakmagyakorló más jogosultság megszerzéséhez ilyen tartalmú vizsgát már tett, vagy rendelkezik olyan vizsgával, amelynek követelménye 80%-ban megegyezik az általános rész követelményrendszerével. A jogosultsági vizsga szakterületi része alól felmentés nem adható. A felelős műszaki vezető, az építési műszaki ellenőr magasépítési </w:t>
      </w:r>
      <w:proofErr w:type="gramStart"/>
      <w:r>
        <w:t>szakterülten</w:t>
      </w:r>
      <w:proofErr w:type="gramEnd"/>
      <w:r>
        <w:t xml:space="preserve"> mentesül a beszámoló alól, ha építési műszaki ellenőri OKJ bizonyítvánnyal rendelkezik.</w:t>
      </w:r>
    </w:p>
    <w:p w:rsidR="00772D95" w:rsidRDefault="00772D95" w:rsidP="00772D95">
      <w:pPr>
        <w:pStyle w:val="NormlWeb"/>
      </w:pPr>
      <w:r w:rsidRPr="00F30514">
        <w:rPr>
          <w:bCs/>
        </w:rPr>
        <w:t>A</w:t>
      </w:r>
      <w:r>
        <w:t xml:space="preserve"> beszámoló általános és szakterületi részből áll. A jogosultsági vizsga és a beszámoló formája írásbeli és szóbeli vizsga. </w:t>
      </w:r>
    </w:p>
    <w:p w:rsidR="00772D95" w:rsidRDefault="00772D95" w:rsidP="00772D95">
      <w:pPr>
        <w:pStyle w:val="NormlWeb"/>
      </w:pPr>
      <w:r>
        <w:t xml:space="preserve">A beszámolóra az országos kamaránál kell jelentkezni. A jelentkezés módja a kamara honlapjáról letölthető jelentkezési lap elektronikus kitöltésével és a kamarának történő továbbítással történik. </w:t>
      </w:r>
    </w:p>
    <w:p w:rsidR="00772D95" w:rsidRDefault="00772D95" w:rsidP="00772D95">
      <w:pPr>
        <w:pStyle w:val="NormlWeb"/>
      </w:pPr>
      <w:r>
        <w:t>A beszámoló segédeszközöket nem használhat.</w:t>
      </w:r>
    </w:p>
    <w:p w:rsidR="00772D95" w:rsidRDefault="00772D95" w:rsidP="00772D95">
      <w:pPr>
        <w:pStyle w:val="NormlWeb"/>
      </w:pPr>
      <w:r>
        <w:lastRenderedPageBreak/>
        <w:t>A beszámoló általános része (szakmagyakorlók közös ismeretanyagát képező ismeretek) az alábbi ismeretkörből áll: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az építésügyi jogi környezet általános felépítése (jogszabályi hierarchia), ezen belül az Étv. alapismerete, a kapcsolódó végrehajtási területekből különösen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 településrendezési szabályok, követelmények,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az építési folyamat,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az építményekkel szemben támasztott alapvető követelmények,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szabványosítás, a szabványokra vonatkozó alapvető fogalmak, a szabványok alkalmazására vonatkozó általános szabályok, a szabványtípusok,</w:t>
      </w:r>
    </w:p>
    <w:p w:rsidR="00772D95" w:rsidRDefault="00772D95" w:rsidP="00772D95">
      <w:pPr>
        <w:pStyle w:val="NormlWeb"/>
        <w:numPr>
          <w:ilvl w:val="0"/>
          <w:numId w:val="1"/>
        </w:numPr>
        <w:jc w:val="both"/>
      </w:pPr>
      <w:r>
        <w:t>az építési termékekre vonatkozó szabályok,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 szakmagyakorlókkal szemben szabálytalanságok esetén alkalmazható jogkövetkezmények,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 kötelmi jogon belül a szerződésekre vonatkozó általános szabályok (tartalmi és formai követelmények, érvényesség),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 környezet-, természet- és tájvédelem vonatkozó részeinek,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az örökségvédelem,</w:t>
      </w:r>
    </w:p>
    <w:p w:rsidR="00772D95" w:rsidRDefault="00772D95" w:rsidP="00772D95">
      <w:pPr>
        <w:pStyle w:val="NormlWeb"/>
        <w:numPr>
          <w:ilvl w:val="0"/>
          <w:numId w:val="1"/>
        </w:numPr>
      </w:pPr>
      <w:r>
        <w:t>a kamarai tagsághoz kötött jogosultságok esetében a kamarai etikai-fegyelmi eljárás ismerete.</w:t>
      </w:r>
    </w:p>
    <w:p w:rsidR="00772D95" w:rsidRDefault="00772D95" w:rsidP="00772D95">
      <w:pPr>
        <w:pStyle w:val="NormlWeb"/>
      </w:pPr>
      <w:r>
        <w:t>A beszámoló szakterületi része (szakmagyakorlók speciális, szakterületi ismeretanyagát képező ismeretek) az alábbi ismeretkörből áll: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a kérelmezett vagy gyakorolt tevékenység vállalása, megkezdése, folytatása feltételeinek, szabályainak,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a kérelmezett vagy gyakorolt szakterületre vonatkozó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szabályok (feladat, felelősség, összeférhetetlenség, szerződés tartalmi követelményei, díjszámítás),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vonatkozó szabványok,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az építési hulladék kezelésének,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szakterületi igény szerinti mértékben a településrendezési követelmények,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a tevékenység végzésével összefüggő egyéb kapcsolódó szakmai területek,</w:t>
      </w:r>
    </w:p>
    <w:p w:rsidR="00772D95" w:rsidRDefault="00772D95" w:rsidP="00772D95">
      <w:pPr>
        <w:pStyle w:val="NormlWeb"/>
        <w:numPr>
          <w:ilvl w:val="0"/>
          <w:numId w:val="3"/>
        </w:numPr>
      </w:pPr>
      <w:r>
        <w:t>az engedélyezési és a kivitelezési terv tartalmi követelményeinek ismerete.</w:t>
      </w:r>
    </w:p>
    <w:p w:rsidR="00772D95" w:rsidRDefault="00772D95"/>
    <w:p w:rsidR="00772D95" w:rsidRPr="00126B58" w:rsidRDefault="00772D95">
      <w:pPr>
        <w:rPr>
          <w:rFonts w:ascii="Times New Roman" w:hAnsi="Times New Roman"/>
          <w:b/>
        </w:rPr>
      </w:pPr>
      <w:r w:rsidRPr="00126B58">
        <w:rPr>
          <w:rFonts w:ascii="Times New Roman" w:hAnsi="Times New Roman"/>
          <w:b/>
        </w:rPr>
        <w:t>Nyilatkozom, hogy a fentieket tudomásul veszem.</w:t>
      </w:r>
    </w:p>
    <w:p w:rsidR="00772D95" w:rsidRPr="00126B58" w:rsidRDefault="00772D95">
      <w:pPr>
        <w:rPr>
          <w:rFonts w:ascii="Times New Roman" w:hAnsi="Times New Roman"/>
        </w:rPr>
      </w:pPr>
    </w:p>
    <w:p w:rsidR="00772D95" w:rsidRPr="00126B58" w:rsidRDefault="00772D95">
      <w:pPr>
        <w:rPr>
          <w:rFonts w:ascii="Times New Roman" w:hAnsi="Times New Roman"/>
        </w:rPr>
      </w:pPr>
    </w:p>
    <w:p w:rsidR="00772D95" w:rsidRPr="00126B58" w:rsidRDefault="00772D95">
      <w:pPr>
        <w:rPr>
          <w:rFonts w:ascii="Times New Roman" w:hAnsi="Times New Roman"/>
        </w:rPr>
      </w:pP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>……………………………………………………………</w:t>
      </w:r>
    </w:p>
    <w:p w:rsidR="00772D95" w:rsidRPr="00126B58" w:rsidRDefault="00772D95">
      <w:pPr>
        <w:rPr>
          <w:rFonts w:ascii="Times New Roman" w:hAnsi="Times New Roman"/>
        </w:rPr>
      </w:pP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r w:rsidRPr="00126B58">
        <w:rPr>
          <w:rFonts w:ascii="Times New Roman" w:hAnsi="Times New Roman"/>
        </w:rPr>
        <w:tab/>
      </w:r>
      <w:proofErr w:type="gramStart"/>
      <w:r w:rsidRPr="00126B58">
        <w:rPr>
          <w:rFonts w:ascii="Times New Roman" w:hAnsi="Times New Roman"/>
        </w:rPr>
        <w:t>aláírás</w:t>
      </w:r>
      <w:proofErr w:type="gramEnd"/>
    </w:p>
    <w:p w:rsidR="00772D95" w:rsidRPr="00126B58" w:rsidRDefault="00772D95">
      <w:pPr>
        <w:rPr>
          <w:rFonts w:ascii="Times New Roman" w:hAnsi="Times New Roman"/>
        </w:rPr>
      </w:pPr>
    </w:p>
    <w:p w:rsidR="00772D95" w:rsidRPr="00126B58" w:rsidRDefault="00772D95">
      <w:pPr>
        <w:rPr>
          <w:rFonts w:ascii="Times New Roman" w:hAnsi="Times New Roman"/>
        </w:rPr>
      </w:pPr>
      <w:r w:rsidRPr="00126B58">
        <w:rPr>
          <w:rFonts w:ascii="Times New Roman" w:hAnsi="Times New Roman"/>
          <w:b/>
        </w:rPr>
        <w:t xml:space="preserve">Budapest, </w:t>
      </w:r>
      <w:proofErr w:type="gramStart"/>
      <w:r w:rsidRPr="00126B58">
        <w:rPr>
          <w:rFonts w:ascii="Times New Roman" w:hAnsi="Times New Roman"/>
          <w:b/>
        </w:rPr>
        <w:t>2014</w:t>
      </w:r>
      <w:r>
        <w:rPr>
          <w:rFonts w:ascii="Times New Roman" w:hAnsi="Times New Roman"/>
        </w:rPr>
        <w:t xml:space="preserve"> </w:t>
      </w:r>
      <w:r w:rsidRPr="00126B58">
        <w:rPr>
          <w:rFonts w:ascii="Times New Roman" w:hAnsi="Times New Roman"/>
          <w:b/>
        </w:rPr>
        <w:t>.</w:t>
      </w:r>
      <w:proofErr w:type="gramEnd"/>
      <w:r w:rsidRPr="00126B58">
        <w:rPr>
          <w:rFonts w:ascii="Times New Roman" w:hAnsi="Times New Roman"/>
        </w:rPr>
        <w:t>………………………………………………</w:t>
      </w:r>
    </w:p>
    <w:sectPr w:rsidR="00772D95" w:rsidRPr="00126B58" w:rsidSect="0077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B7"/>
    <w:multiLevelType w:val="hybridMultilevel"/>
    <w:tmpl w:val="F274D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6FB2"/>
    <w:multiLevelType w:val="hybridMultilevel"/>
    <w:tmpl w:val="B08C5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A1520"/>
    <w:multiLevelType w:val="hybridMultilevel"/>
    <w:tmpl w:val="C5A02218"/>
    <w:lvl w:ilvl="0" w:tplc="FD88CF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9A9"/>
    <w:multiLevelType w:val="hybridMultilevel"/>
    <w:tmpl w:val="F35EFD76"/>
    <w:lvl w:ilvl="0" w:tplc="3FF88FA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CE"/>
    <w:rsid w:val="00772D95"/>
    <w:rsid w:val="00E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4B9BA-CFDF-46CE-85DA-E5690FDA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4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NormlWeb">
    <w:name w:val="Normal (Web)"/>
    <w:basedOn w:val="Norml"/>
    <w:uiPriority w:val="99"/>
    <w:unhideWhenUsed/>
    <w:rsid w:val="00350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BPMK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Gabi</cp:lastModifiedBy>
  <cp:revision>2</cp:revision>
  <dcterms:created xsi:type="dcterms:W3CDTF">2014-08-14T08:34:00Z</dcterms:created>
  <dcterms:modified xsi:type="dcterms:W3CDTF">2014-08-14T08:34:00Z</dcterms:modified>
</cp:coreProperties>
</file>